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122E" w:rsidRPr="00835F20" w:rsidRDefault="002F122E" w:rsidP="001E1BB0">
      <w:pPr>
        <w:pStyle w:val="Titre4"/>
        <w:spacing w:line="360" w:lineRule="auto"/>
        <w:ind w:left="-709"/>
        <w:jc w:val="center"/>
        <w:rPr>
          <w:rFonts w:cs="Arial"/>
          <w:b w:val="0"/>
          <w:bCs w:val="0"/>
          <w:color w:val="1F497D"/>
          <w:sz w:val="18"/>
        </w:rPr>
      </w:pPr>
      <w:r>
        <w:rPr>
          <w:rFonts w:cs="Arial"/>
          <w:b w:val="0"/>
          <w:bCs w:val="0"/>
          <w:color w:val="1F497D"/>
          <w:sz w:val="18"/>
        </w:rPr>
        <w:t>CAISSE FEDERALE</w:t>
      </w:r>
      <w:r w:rsidRPr="008B3F0C">
        <w:rPr>
          <w:rFonts w:cs="Arial"/>
          <w:b w:val="0"/>
          <w:bCs w:val="0"/>
          <w:color w:val="1F497D"/>
          <w:sz w:val="18"/>
        </w:rPr>
        <w:t xml:space="preserve"> DU</w:t>
      </w:r>
      <w:r w:rsidRPr="00835F20">
        <w:rPr>
          <w:rFonts w:cs="Arial"/>
          <w:b w:val="0"/>
          <w:bCs w:val="0"/>
          <w:color w:val="1F497D"/>
          <w:sz w:val="18"/>
        </w:rPr>
        <w:t xml:space="preserve"> CREDIT MUTUEL OCEAN - 34 RUE LEANDRE MERLET - 85000 LA ROCHE SUR YON</w:t>
      </w:r>
    </w:p>
    <w:p w:rsidR="002F122E" w:rsidRDefault="002F122E" w:rsidP="002F122E">
      <w:pPr>
        <w:spacing w:line="360" w:lineRule="auto"/>
        <w:jc w:val="center"/>
        <w:rPr>
          <w:rFonts w:cs="Arial"/>
        </w:rPr>
      </w:pPr>
      <w:r w:rsidRPr="00A01532">
        <w:rPr>
          <w:noProof/>
          <w:lang w:eastAsia="fr-FR"/>
        </w:rPr>
        <w:drawing>
          <wp:inline distT="0" distB="0" distL="0" distR="0" wp14:anchorId="7C382147" wp14:editId="10618EDE">
            <wp:extent cx="1169859" cy="499940"/>
            <wp:effectExtent l="0" t="0" r="0" b="0"/>
            <wp:docPr id="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520" cy="502787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3053D" w:rsidRPr="00751EDC" w:rsidRDefault="002F122E" w:rsidP="0073053D">
      <w:pPr>
        <w:pStyle w:val="Titre"/>
        <w:pBdr>
          <w:bottom w:val="single" w:sz="4" w:space="0" w:color="auto"/>
        </w:pBdr>
        <w:rPr>
          <w:b/>
          <w:sz w:val="40"/>
          <w:szCs w:val="40"/>
        </w:rPr>
      </w:pPr>
      <w:r w:rsidRPr="00751EDC">
        <w:rPr>
          <w:b/>
          <w:sz w:val="40"/>
          <w:szCs w:val="40"/>
        </w:rPr>
        <w:t>PROCES-VERBAL DE DESACCORD</w:t>
      </w:r>
    </w:p>
    <w:p w:rsidR="0073053D" w:rsidRPr="00751EDC" w:rsidRDefault="0073053D" w:rsidP="00EF77ED">
      <w:pPr>
        <w:pStyle w:val="Titre"/>
        <w:pBdr>
          <w:bottom w:val="single" w:sz="4" w:space="0" w:color="auto"/>
        </w:pBdr>
        <w:rPr>
          <w:b/>
          <w:sz w:val="40"/>
          <w:szCs w:val="40"/>
        </w:rPr>
      </w:pPr>
      <w:r w:rsidRPr="00751EDC">
        <w:rPr>
          <w:b/>
          <w:sz w:val="40"/>
          <w:szCs w:val="40"/>
        </w:rPr>
        <w:t xml:space="preserve">relatif à la négociation annuelle </w:t>
      </w:r>
      <w:r w:rsidR="00751EDC" w:rsidRPr="00751EDC">
        <w:rPr>
          <w:b/>
          <w:sz w:val="40"/>
          <w:szCs w:val="40"/>
        </w:rPr>
        <w:t>sur la rémunération, le temps de travail et le partage de la valeur ajoutée</w:t>
      </w:r>
      <w:r w:rsidRPr="00751EDC">
        <w:rPr>
          <w:b/>
          <w:sz w:val="40"/>
          <w:szCs w:val="40"/>
        </w:rPr>
        <w:t xml:space="preserve"> </w:t>
      </w:r>
    </w:p>
    <w:p w:rsidR="002F122E" w:rsidRPr="00D22412" w:rsidRDefault="002F122E" w:rsidP="002F122E"/>
    <w:p w:rsidR="002F122E" w:rsidRPr="00DC706F" w:rsidRDefault="002F122E" w:rsidP="002F122E">
      <w:pPr>
        <w:spacing w:after="0" w:line="240" w:lineRule="auto"/>
        <w:rPr>
          <w:rFonts w:cs="Arial"/>
          <w:color w:val="FF0000"/>
          <w:sz w:val="20"/>
        </w:rPr>
      </w:pPr>
    </w:p>
    <w:p w:rsidR="002F122E" w:rsidRPr="00EF77ED" w:rsidRDefault="002F122E" w:rsidP="002F122E">
      <w:pPr>
        <w:ind w:right="-1"/>
        <w:rPr>
          <w:rFonts w:cs="Arial"/>
          <w:color w:val="2F2F2F"/>
        </w:rPr>
      </w:pPr>
      <w:r w:rsidRPr="00EF77ED">
        <w:rPr>
          <w:rFonts w:cs="Arial"/>
          <w:color w:val="2F2F2F"/>
        </w:rPr>
        <w:t xml:space="preserve">Entre </w:t>
      </w:r>
    </w:p>
    <w:p w:rsidR="002F122E" w:rsidRPr="00EF77ED" w:rsidRDefault="002F122E" w:rsidP="002F122E">
      <w:pPr>
        <w:ind w:right="-1"/>
        <w:rPr>
          <w:rFonts w:cs="Arial"/>
          <w:color w:val="2F2F2F"/>
        </w:rPr>
      </w:pPr>
      <w:r w:rsidRPr="00EF77ED">
        <w:rPr>
          <w:rFonts w:cs="Arial"/>
          <w:color w:val="2F2F2F"/>
        </w:rPr>
        <w:t>D’une part,</w:t>
      </w:r>
    </w:p>
    <w:p w:rsidR="002F122E" w:rsidRPr="00EF77ED" w:rsidRDefault="002F122E" w:rsidP="002F122E">
      <w:pPr>
        <w:tabs>
          <w:tab w:val="left" w:pos="3466"/>
        </w:tabs>
        <w:ind w:right="-1"/>
        <w:rPr>
          <w:rFonts w:cs="Arial"/>
          <w:color w:val="2F2F2F"/>
        </w:rPr>
      </w:pPr>
      <w:r w:rsidRPr="00EF77ED">
        <w:rPr>
          <w:rFonts w:cs="Arial"/>
          <w:color w:val="2F2F2F"/>
        </w:rPr>
        <w:tab/>
      </w:r>
    </w:p>
    <w:p w:rsidR="002F122E" w:rsidRPr="00EF77ED" w:rsidRDefault="002F122E" w:rsidP="002F122E">
      <w:pPr>
        <w:numPr>
          <w:ilvl w:val="0"/>
          <w:numId w:val="1"/>
        </w:numPr>
        <w:spacing w:after="0" w:line="240" w:lineRule="auto"/>
        <w:ind w:right="-1"/>
        <w:rPr>
          <w:rFonts w:cs="Arial"/>
        </w:rPr>
      </w:pPr>
      <w:r w:rsidRPr="00EF77ED">
        <w:rPr>
          <w:rFonts w:cs="Arial"/>
          <w:b/>
        </w:rPr>
        <w:t>La Caisse Fédérale du Crédit Mutuel Océan</w:t>
      </w:r>
    </w:p>
    <w:p w:rsidR="002F122E" w:rsidRPr="00EF77ED" w:rsidRDefault="002F122E" w:rsidP="002F122E">
      <w:pPr>
        <w:ind w:left="720" w:right="-1"/>
        <w:rPr>
          <w:rFonts w:cs="Arial"/>
          <w:b/>
        </w:rPr>
      </w:pPr>
      <w:r w:rsidRPr="00EF77ED">
        <w:rPr>
          <w:rFonts w:cs="Arial"/>
          <w:b/>
        </w:rPr>
        <w:t xml:space="preserve">Représentée par Luc CORTOT, Directeur Général, </w:t>
      </w:r>
    </w:p>
    <w:p w:rsidR="002F122E" w:rsidRPr="00EF77ED" w:rsidRDefault="002F122E" w:rsidP="002F122E">
      <w:pPr>
        <w:ind w:right="-1"/>
        <w:rPr>
          <w:rFonts w:cs="Arial"/>
          <w:b/>
        </w:rPr>
      </w:pPr>
    </w:p>
    <w:p w:rsidR="002F122E" w:rsidRPr="00EF77ED" w:rsidRDefault="002F122E" w:rsidP="002F122E">
      <w:pPr>
        <w:ind w:right="-1"/>
        <w:jc w:val="both"/>
        <w:rPr>
          <w:rFonts w:cs="Arial"/>
        </w:rPr>
      </w:pPr>
      <w:r w:rsidRPr="00EF77ED">
        <w:rPr>
          <w:rFonts w:cs="Arial"/>
        </w:rPr>
        <w:t>Agissa</w:t>
      </w:r>
      <w:r w:rsidR="001E1BB0">
        <w:rPr>
          <w:rFonts w:cs="Arial"/>
        </w:rPr>
        <w:t xml:space="preserve">nt es-qualité et pour le compte </w:t>
      </w:r>
      <w:r w:rsidRPr="00EF77ED">
        <w:rPr>
          <w:rFonts w:cs="Arial"/>
        </w:rPr>
        <w:t>des organismes qui lui sont affiliés ou qui viendraient à l’être (caisses locales et toutes filiales)</w:t>
      </w:r>
    </w:p>
    <w:p w:rsidR="002F122E" w:rsidRPr="00EF77ED" w:rsidRDefault="002F122E" w:rsidP="002F122E">
      <w:pPr>
        <w:tabs>
          <w:tab w:val="left" w:pos="2268"/>
          <w:tab w:val="left" w:pos="2694"/>
        </w:tabs>
        <w:spacing w:after="60"/>
        <w:rPr>
          <w:rFonts w:cs="Arial"/>
          <w:color w:val="2F2F2F"/>
        </w:rPr>
      </w:pPr>
    </w:p>
    <w:p w:rsidR="002F122E" w:rsidRPr="00EF77ED" w:rsidRDefault="002F122E" w:rsidP="002F122E">
      <w:pPr>
        <w:tabs>
          <w:tab w:val="left" w:pos="2268"/>
          <w:tab w:val="left" w:pos="2694"/>
        </w:tabs>
        <w:spacing w:after="60"/>
        <w:rPr>
          <w:rFonts w:cs="Arial"/>
          <w:color w:val="2F2F2F"/>
        </w:rPr>
      </w:pPr>
      <w:r w:rsidRPr="00EF77ED">
        <w:rPr>
          <w:rFonts w:cs="Arial"/>
          <w:color w:val="2F2F2F"/>
        </w:rPr>
        <w:t>Et</w:t>
      </w:r>
    </w:p>
    <w:p w:rsidR="002F122E" w:rsidRPr="00EF77ED" w:rsidRDefault="002F122E" w:rsidP="002F122E">
      <w:pPr>
        <w:tabs>
          <w:tab w:val="left" w:pos="2268"/>
          <w:tab w:val="left" w:pos="2694"/>
        </w:tabs>
        <w:spacing w:after="60"/>
        <w:ind w:firstLine="425"/>
        <w:rPr>
          <w:rFonts w:cs="Arial"/>
          <w:color w:val="632423"/>
        </w:rPr>
      </w:pPr>
    </w:p>
    <w:p w:rsidR="002F122E" w:rsidRPr="00EF77ED" w:rsidRDefault="002F122E" w:rsidP="002F122E">
      <w:pPr>
        <w:ind w:right="360"/>
        <w:rPr>
          <w:rFonts w:cs="Arial"/>
          <w:snapToGrid w:val="0"/>
        </w:rPr>
      </w:pPr>
      <w:r w:rsidRPr="00EF77ED">
        <w:rPr>
          <w:rFonts w:cs="Arial"/>
          <w:color w:val="2F2F2F"/>
        </w:rPr>
        <w:t>D’autre part,</w:t>
      </w:r>
    </w:p>
    <w:p w:rsidR="002F122E" w:rsidRPr="00EF77ED" w:rsidRDefault="002F122E" w:rsidP="002F122E">
      <w:pPr>
        <w:ind w:right="-1"/>
        <w:jc w:val="both"/>
        <w:rPr>
          <w:rFonts w:cs="Arial"/>
        </w:rPr>
      </w:pPr>
      <w:r w:rsidRPr="00EF77ED">
        <w:rPr>
          <w:rFonts w:cs="Arial"/>
          <w:b/>
          <w:color w:val="2F2F2F"/>
        </w:rPr>
        <w:t xml:space="preserve">Les Organisations Syndicales </w:t>
      </w:r>
      <w:r w:rsidRPr="00EF77ED">
        <w:rPr>
          <w:rFonts w:cs="Arial"/>
          <w:color w:val="2F2F2F"/>
        </w:rPr>
        <w:t>: </w:t>
      </w:r>
    </w:p>
    <w:p w:rsidR="002F122E" w:rsidRPr="00EF77ED" w:rsidRDefault="002F122E" w:rsidP="002F122E">
      <w:pPr>
        <w:pStyle w:val="Paragraphedeliste"/>
        <w:numPr>
          <w:ilvl w:val="0"/>
          <w:numId w:val="2"/>
        </w:numPr>
        <w:tabs>
          <w:tab w:val="left" w:pos="426"/>
        </w:tabs>
        <w:spacing w:line="240" w:lineRule="auto"/>
        <w:ind w:right="-1"/>
        <w:contextualSpacing w:val="0"/>
        <w:rPr>
          <w:rFonts w:asciiTheme="minorHAnsi" w:hAnsiTheme="minorHAnsi" w:cs="Arial"/>
          <w:b/>
          <w:color w:val="262626"/>
          <w:sz w:val="22"/>
        </w:rPr>
      </w:pPr>
      <w:r w:rsidRPr="00EF77ED">
        <w:rPr>
          <w:rFonts w:asciiTheme="minorHAnsi" w:hAnsiTheme="minorHAnsi" w:cs="Arial"/>
          <w:b/>
          <w:color w:val="262626"/>
          <w:sz w:val="22"/>
        </w:rPr>
        <w:t>Confédération Française Démocratique du Travail (CFDT)</w:t>
      </w:r>
    </w:p>
    <w:p w:rsidR="002F122E" w:rsidRPr="00EF77ED" w:rsidRDefault="002F122E" w:rsidP="002F122E">
      <w:pPr>
        <w:pStyle w:val="Paragraphedeliste"/>
        <w:numPr>
          <w:ilvl w:val="0"/>
          <w:numId w:val="2"/>
        </w:numPr>
        <w:tabs>
          <w:tab w:val="left" w:pos="426"/>
        </w:tabs>
        <w:spacing w:line="240" w:lineRule="auto"/>
        <w:ind w:right="-1"/>
        <w:contextualSpacing w:val="0"/>
        <w:rPr>
          <w:rFonts w:asciiTheme="minorHAnsi" w:hAnsiTheme="minorHAnsi" w:cs="Arial"/>
          <w:b/>
          <w:color w:val="262626"/>
          <w:sz w:val="22"/>
        </w:rPr>
      </w:pPr>
      <w:r w:rsidRPr="00EF77ED">
        <w:rPr>
          <w:rFonts w:asciiTheme="minorHAnsi" w:hAnsiTheme="minorHAnsi" w:cs="Arial"/>
          <w:b/>
          <w:color w:val="262626"/>
          <w:sz w:val="22"/>
        </w:rPr>
        <w:t>Confédération Générale du Travail Force Ouvrière (FO)</w:t>
      </w:r>
    </w:p>
    <w:p w:rsidR="002F122E" w:rsidRPr="00EF77ED" w:rsidRDefault="002F122E" w:rsidP="002F122E">
      <w:pPr>
        <w:pStyle w:val="Paragraphedeliste"/>
        <w:numPr>
          <w:ilvl w:val="0"/>
          <w:numId w:val="2"/>
        </w:numPr>
        <w:tabs>
          <w:tab w:val="left" w:pos="426"/>
        </w:tabs>
        <w:spacing w:line="240" w:lineRule="auto"/>
        <w:ind w:right="-1"/>
        <w:contextualSpacing w:val="0"/>
        <w:rPr>
          <w:rFonts w:asciiTheme="minorHAnsi" w:hAnsiTheme="minorHAnsi" w:cs="Arial"/>
          <w:b/>
          <w:color w:val="262626"/>
          <w:sz w:val="22"/>
        </w:rPr>
      </w:pPr>
      <w:r w:rsidRPr="00EF77ED">
        <w:rPr>
          <w:rFonts w:asciiTheme="minorHAnsi" w:hAnsiTheme="minorHAnsi" w:cs="Arial"/>
          <w:b/>
          <w:color w:val="262626"/>
          <w:sz w:val="22"/>
        </w:rPr>
        <w:t>Syndicat National des Banques (SNB / CFE - CGC)</w:t>
      </w:r>
    </w:p>
    <w:p w:rsidR="002F122E" w:rsidRPr="00EF77ED" w:rsidRDefault="002F122E" w:rsidP="002F122E">
      <w:pPr>
        <w:pStyle w:val="Paragraphedeliste"/>
        <w:numPr>
          <w:ilvl w:val="0"/>
          <w:numId w:val="2"/>
        </w:numPr>
        <w:tabs>
          <w:tab w:val="left" w:pos="426"/>
        </w:tabs>
        <w:spacing w:line="240" w:lineRule="auto"/>
        <w:ind w:right="-1"/>
        <w:contextualSpacing w:val="0"/>
        <w:rPr>
          <w:rFonts w:asciiTheme="minorHAnsi" w:hAnsiTheme="minorHAnsi" w:cs="Arial"/>
          <w:b/>
          <w:color w:val="262626"/>
          <w:sz w:val="22"/>
        </w:rPr>
      </w:pPr>
      <w:r w:rsidRPr="00EF77ED">
        <w:rPr>
          <w:rFonts w:asciiTheme="minorHAnsi" w:hAnsiTheme="minorHAnsi" w:cs="Arial"/>
          <w:b/>
          <w:color w:val="262626"/>
          <w:sz w:val="22"/>
        </w:rPr>
        <w:t>Union Nationale des Syndicats Autonomes (UNSA CMO)</w:t>
      </w:r>
    </w:p>
    <w:p w:rsidR="002F122E" w:rsidRDefault="002F122E" w:rsidP="002F122E">
      <w:pPr>
        <w:numPr>
          <w:ilvl w:val="12"/>
          <w:numId w:val="0"/>
        </w:numPr>
        <w:spacing w:line="240" w:lineRule="auto"/>
        <w:ind w:right="-1"/>
        <w:rPr>
          <w:rFonts w:cs="Arial"/>
          <w:b/>
          <w:u w:val="single"/>
        </w:rPr>
      </w:pPr>
    </w:p>
    <w:p w:rsidR="0073053D" w:rsidRPr="0073053D" w:rsidRDefault="0073053D" w:rsidP="0073053D">
      <w:pPr>
        <w:pStyle w:val="Texte"/>
        <w:rPr>
          <w:rFonts w:cs="Tahoma"/>
          <w:i/>
          <w:sz w:val="22"/>
        </w:rPr>
      </w:pPr>
      <w:r w:rsidRPr="0073053D">
        <w:rPr>
          <w:rFonts w:cs="Tahoma"/>
          <w:sz w:val="22"/>
        </w:rPr>
        <w:t>Ci-après ensemble désignées « les Parties »</w:t>
      </w:r>
      <w:r w:rsidRPr="0073053D">
        <w:rPr>
          <w:rFonts w:cs="Tahoma"/>
          <w:i/>
          <w:sz w:val="22"/>
        </w:rPr>
        <w:t xml:space="preserve"> </w:t>
      </w:r>
    </w:p>
    <w:p w:rsidR="0073053D" w:rsidRPr="0073053D" w:rsidRDefault="0073053D" w:rsidP="0073053D">
      <w:pPr>
        <w:pStyle w:val="Texte"/>
        <w:rPr>
          <w:rFonts w:cs="Tahoma"/>
          <w:b/>
          <w:smallCaps/>
          <w:sz w:val="22"/>
        </w:rPr>
      </w:pPr>
    </w:p>
    <w:p w:rsidR="0073053D" w:rsidRDefault="0073053D" w:rsidP="0073053D">
      <w:pPr>
        <w:pStyle w:val="Corpsdetexte"/>
        <w:spacing w:before="0" w:after="0"/>
        <w:ind w:right="-28"/>
        <w:rPr>
          <w:rFonts w:ascii="Tahoma" w:hAnsi="Tahoma" w:cs="Tahoma"/>
          <w:szCs w:val="22"/>
        </w:rPr>
      </w:pPr>
      <w:r w:rsidRPr="0073053D">
        <w:rPr>
          <w:rFonts w:asciiTheme="minorHAnsi" w:hAnsiTheme="minorHAnsi" w:cs="Tahoma"/>
          <w:szCs w:val="22"/>
        </w:rPr>
        <w:t xml:space="preserve">Il a été conclu </w:t>
      </w:r>
      <w:r>
        <w:rPr>
          <w:rFonts w:asciiTheme="minorHAnsi" w:hAnsiTheme="minorHAnsi" w:cs="Tahoma"/>
          <w:szCs w:val="22"/>
        </w:rPr>
        <w:t>le procès-</w:t>
      </w:r>
      <w:r w:rsidRPr="0073053D">
        <w:rPr>
          <w:rFonts w:asciiTheme="minorHAnsi" w:hAnsiTheme="minorHAnsi" w:cs="Tahoma"/>
          <w:szCs w:val="22"/>
        </w:rPr>
        <w:t>verbal suivant</w:t>
      </w:r>
      <w:r w:rsidRPr="0073053D">
        <w:rPr>
          <w:rFonts w:ascii="Tahoma" w:hAnsi="Tahoma" w:cs="Tahoma"/>
          <w:szCs w:val="22"/>
        </w:rPr>
        <w:t xml:space="preserve"> :</w:t>
      </w:r>
    </w:p>
    <w:p w:rsidR="001E1BB0" w:rsidRDefault="001E1BB0">
      <w:pPr>
        <w:rPr>
          <w:rFonts w:ascii="Tahoma" w:eastAsia="Times New Roman" w:hAnsi="Tahoma" w:cs="Tahoma"/>
          <w:lang w:eastAsia="fr-FR"/>
        </w:rPr>
      </w:pPr>
      <w:r>
        <w:rPr>
          <w:rFonts w:ascii="Tahoma" w:hAnsi="Tahoma" w:cs="Tahoma"/>
        </w:rPr>
        <w:br w:type="page"/>
      </w:r>
    </w:p>
    <w:p w:rsidR="002F122E" w:rsidRPr="008D6A00" w:rsidRDefault="0073053D" w:rsidP="002F122E">
      <w:pPr>
        <w:jc w:val="both"/>
        <w:rPr>
          <w:b/>
          <w:u w:val="single"/>
        </w:rPr>
      </w:pPr>
      <w:r w:rsidRPr="008D6A00">
        <w:rPr>
          <w:b/>
          <w:u w:val="single"/>
        </w:rPr>
        <w:lastRenderedPageBreak/>
        <w:t>Préambule</w:t>
      </w:r>
    </w:p>
    <w:p w:rsidR="00EF77ED" w:rsidRPr="008D6A00" w:rsidRDefault="0073053D" w:rsidP="0073053D">
      <w:pPr>
        <w:spacing w:after="0"/>
        <w:jc w:val="both"/>
        <w:rPr>
          <w:rFonts w:cs="Tahoma"/>
        </w:rPr>
      </w:pPr>
      <w:r w:rsidRPr="008D6A00">
        <w:rPr>
          <w:rFonts w:cs="Tahoma"/>
        </w:rPr>
        <w:t>Conformément aux dispositions des articles L 2242-</w:t>
      </w:r>
      <w:r w:rsidR="00751EDC" w:rsidRPr="008D6A00">
        <w:rPr>
          <w:rFonts w:cs="Tahoma"/>
        </w:rPr>
        <w:t>1</w:t>
      </w:r>
      <w:r w:rsidRPr="008D6A00">
        <w:rPr>
          <w:rFonts w:cs="Tahoma"/>
        </w:rPr>
        <w:t xml:space="preserve"> du code du travail et suivants, la Caisse Fédérale du Crédit Mutuel Océan a préparé les négociations annuelles obligatoires relatives à la rémunération, au temps de travail et au partage de la valeur ajoutée dans l’entreprise. </w:t>
      </w:r>
    </w:p>
    <w:p w:rsidR="00EF77ED" w:rsidRPr="008D6A00" w:rsidRDefault="00EF77ED" w:rsidP="0073053D">
      <w:pPr>
        <w:spacing w:after="0"/>
        <w:jc w:val="both"/>
        <w:rPr>
          <w:rFonts w:cs="Tahoma"/>
        </w:rPr>
      </w:pPr>
    </w:p>
    <w:p w:rsidR="0073053D" w:rsidRPr="008D6A00" w:rsidRDefault="00EF77ED" w:rsidP="00751EDC">
      <w:pPr>
        <w:spacing w:after="0"/>
        <w:jc w:val="both"/>
        <w:rPr>
          <w:rFonts w:cs="Tahoma"/>
        </w:rPr>
      </w:pPr>
      <w:r w:rsidRPr="008D6A00">
        <w:rPr>
          <w:rFonts w:cs="Tahoma"/>
        </w:rPr>
        <w:t>Ainsi les Parties ont arrêté</w:t>
      </w:r>
      <w:r w:rsidR="0073053D" w:rsidRPr="008D6A00">
        <w:rPr>
          <w:rFonts w:cs="Tahoma"/>
        </w:rPr>
        <w:t xml:space="preserve"> </w:t>
      </w:r>
      <w:r w:rsidR="009D4761" w:rsidRPr="008D6A00">
        <w:rPr>
          <w:rFonts w:cs="Tahoma"/>
        </w:rPr>
        <w:t>le 1</w:t>
      </w:r>
      <w:r w:rsidR="005C549F" w:rsidRPr="008D6A00">
        <w:rPr>
          <w:rFonts w:cs="Tahoma"/>
        </w:rPr>
        <w:t>9</w:t>
      </w:r>
      <w:r w:rsidR="009D4761" w:rsidRPr="008D6A00">
        <w:rPr>
          <w:rFonts w:cs="Tahoma"/>
        </w:rPr>
        <w:t xml:space="preserve"> décembre 2018 </w:t>
      </w:r>
      <w:r w:rsidR="0073053D" w:rsidRPr="008D6A00">
        <w:rPr>
          <w:rFonts w:cs="Tahoma"/>
        </w:rPr>
        <w:t>le calendrier, détermin</w:t>
      </w:r>
      <w:r w:rsidR="009D4761" w:rsidRPr="008D6A00">
        <w:rPr>
          <w:rFonts w:cs="Tahoma"/>
        </w:rPr>
        <w:t>é</w:t>
      </w:r>
      <w:r w:rsidR="0073053D" w:rsidRPr="008D6A00">
        <w:rPr>
          <w:rFonts w:cs="Tahoma"/>
        </w:rPr>
        <w:t xml:space="preserve"> les é</w:t>
      </w:r>
      <w:r w:rsidR="009D4761" w:rsidRPr="008D6A00">
        <w:rPr>
          <w:rFonts w:cs="Tahoma"/>
        </w:rPr>
        <w:t>léments d’information à fournir et</w:t>
      </w:r>
      <w:r w:rsidR="0073053D" w:rsidRPr="008D6A00">
        <w:rPr>
          <w:rFonts w:cs="Tahoma"/>
        </w:rPr>
        <w:t xml:space="preserve"> les thèmes de la </w:t>
      </w:r>
      <w:r w:rsidR="00751EDC" w:rsidRPr="008D6A00">
        <w:rPr>
          <w:rFonts w:cs="Tahoma"/>
        </w:rPr>
        <w:t>négociation annuelle sur la rémunération, le temps de travail et le partage de la valeur ajoutée</w:t>
      </w:r>
      <w:r w:rsidR="0073053D" w:rsidRPr="008D6A00">
        <w:rPr>
          <w:rFonts w:cs="Tahoma"/>
        </w:rPr>
        <w:t>. Cette négociation a donné lieu à deux autres réunions (les 17 et 31 janvier 2019) conformément au planning défini.</w:t>
      </w:r>
    </w:p>
    <w:p w:rsidR="00751EDC" w:rsidRPr="008D6A00" w:rsidRDefault="00751EDC" w:rsidP="002F122E">
      <w:pPr>
        <w:jc w:val="both"/>
      </w:pPr>
    </w:p>
    <w:p w:rsidR="0097601C" w:rsidRDefault="002F122E" w:rsidP="002F122E">
      <w:pPr>
        <w:jc w:val="both"/>
      </w:pPr>
      <w:r w:rsidRPr="008D6A00">
        <w:t xml:space="preserve">Les parties constatent qu'au terme de la négociation, elles n'ont pu aboutir à </w:t>
      </w:r>
      <w:r w:rsidR="008C0102" w:rsidRPr="008D6A00">
        <w:t>un</w:t>
      </w:r>
      <w:r w:rsidRPr="008D6A00">
        <w:t xml:space="preserve"> accord et conviennent d'établir par la présente un procès-verbal de désaccord, conformément à l'article L. 2242-</w:t>
      </w:r>
      <w:r w:rsidR="00751EDC" w:rsidRPr="008D6A00">
        <w:t>5</w:t>
      </w:r>
      <w:r w:rsidRPr="008D6A00">
        <w:t xml:space="preserve"> du Code du travail.</w:t>
      </w:r>
      <w:r w:rsidR="0097601C" w:rsidRPr="008D6A00">
        <w:t xml:space="preserve"> </w:t>
      </w:r>
    </w:p>
    <w:p w:rsidR="008D6A00" w:rsidRPr="008D6A00" w:rsidRDefault="008D6A00" w:rsidP="002F122E">
      <w:pPr>
        <w:jc w:val="both"/>
      </w:pPr>
    </w:p>
    <w:p w:rsidR="000146D1" w:rsidRPr="008D6A00" w:rsidRDefault="002F122E" w:rsidP="002F122E">
      <w:pPr>
        <w:jc w:val="both"/>
        <w:rPr>
          <w:b/>
          <w:u w:val="single"/>
        </w:rPr>
      </w:pPr>
      <w:r w:rsidRPr="008D6A00">
        <w:rPr>
          <w:b/>
          <w:u w:val="single"/>
        </w:rPr>
        <w:t xml:space="preserve">Article </w:t>
      </w:r>
      <w:r w:rsidR="0073053D" w:rsidRPr="008D6A00">
        <w:rPr>
          <w:b/>
          <w:u w:val="single"/>
        </w:rPr>
        <w:t>1</w:t>
      </w:r>
      <w:r w:rsidRPr="008D6A00">
        <w:rPr>
          <w:b/>
          <w:u w:val="single"/>
        </w:rPr>
        <w:t>. Dernier état de</w:t>
      </w:r>
      <w:r w:rsidR="002F4BF4" w:rsidRPr="008D6A00">
        <w:rPr>
          <w:b/>
          <w:u w:val="single"/>
        </w:rPr>
        <w:t>s propositions respectives des P</w:t>
      </w:r>
      <w:r w:rsidRPr="008D6A00">
        <w:rPr>
          <w:b/>
          <w:u w:val="single"/>
        </w:rPr>
        <w:t>arties</w:t>
      </w:r>
    </w:p>
    <w:p w:rsidR="002F4BF4" w:rsidRPr="008D6A00" w:rsidRDefault="002F4BF4" w:rsidP="000146D1">
      <w:pPr>
        <w:pStyle w:val="Paragraphedeliste"/>
        <w:numPr>
          <w:ilvl w:val="1"/>
          <w:numId w:val="13"/>
        </w:numPr>
        <w:spacing w:before="240" w:after="240"/>
        <w:rPr>
          <w:rFonts w:asciiTheme="minorHAnsi" w:eastAsia="Times New Roman" w:hAnsiTheme="minorHAnsi" w:cs="Tahoma"/>
          <w:b/>
          <w:sz w:val="22"/>
          <w:lang w:eastAsia="fr-FR"/>
        </w:rPr>
      </w:pPr>
      <w:r w:rsidRPr="008D6A00">
        <w:rPr>
          <w:rFonts w:asciiTheme="minorHAnsi" w:eastAsia="Times New Roman" w:hAnsiTheme="minorHAnsi" w:cs="Tahoma"/>
          <w:b/>
          <w:sz w:val="22"/>
          <w:lang w:eastAsia="fr-FR"/>
        </w:rPr>
        <w:t>Pour les organisations syndicales CFDT, FO, SNB et UNSA</w:t>
      </w:r>
    </w:p>
    <w:p w:rsidR="000146D1" w:rsidRPr="008D6A00" w:rsidRDefault="0003046D" w:rsidP="000146D1">
      <w:pPr>
        <w:spacing w:before="240"/>
        <w:jc w:val="both"/>
      </w:pPr>
      <w:r w:rsidRPr="008D6A00">
        <w:t>Les organisations syndicales représentatives du personnel ont proposé une augmentation générale de 500 € brut</w:t>
      </w:r>
      <w:r w:rsidR="000146D1" w:rsidRPr="008D6A00">
        <w:t>s</w:t>
      </w:r>
      <w:r w:rsidRPr="008D6A00">
        <w:t xml:space="preserve"> annuel par salarié</w:t>
      </w:r>
      <w:r w:rsidR="00162F7E" w:rsidRPr="008D6A00">
        <w:t xml:space="preserve"> en contre</w:t>
      </w:r>
      <w:r w:rsidR="00502ABD" w:rsidRPr="008D6A00">
        <w:t xml:space="preserve">partie </w:t>
      </w:r>
      <w:r w:rsidR="00162F7E" w:rsidRPr="008D6A00">
        <w:t xml:space="preserve">de l’abandon </w:t>
      </w:r>
      <w:r w:rsidR="006D0A80">
        <w:t xml:space="preserve">de leur demande </w:t>
      </w:r>
      <w:r w:rsidR="006B1143">
        <w:t xml:space="preserve">d’un abondement PEE et de leurs </w:t>
      </w:r>
      <w:r w:rsidR="00162F7E" w:rsidRPr="008D6A00">
        <w:t>autres demandes faites pendant la négociation.</w:t>
      </w:r>
    </w:p>
    <w:p w:rsidR="002F4BF4" w:rsidRPr="008D6A00" w:rsidRDefault="002F4BF4" w:rsidP="000146D1">
      <w:pPr>
        <w:pStyle w:val="Paragraphedeliste"/>
        <w:numPr>
          <w:ilvl w:val="1"/>
          <w:numId w:val="13"/>
        </w:numPr>
        <w:spacing w:before="240"/>
        <w:rPr>
          <w:rFonts w:asciiTheme="minorHAnsi" w:eastAsia="Times New Roman" w:hAnsiTheme="minorHAnsi" w:cs="Tahoma"/>
          <w:b/>
          <w:sz w:val="22"/>
          <w:lang w:eastAsia="fr-FR"/>
        </w:rPr>
      </w:pPr>
      <w:r w:rsidRPr="008D6A00">
        <w:rPr>
          <w:rFonts w:asciiTheme="minorHAnsi" w:hAnsiTheme="minorHAnsi" w:cs="Tahoma"/>
          <w:b/>
          <w:sz w:val="22"/>
        </w:rPr>
        <w:t xml:space="preserve">Pour la Direction </w:t>
      </w:r>
    </w:p>
    <w:p w:rsidR="000D1266" w:rsidRPr="008D6A00" w:rsidRDefault="000146D1" w:rsidP="000146D1">
      <w:pPr>
        <w:spacing w:before="240"/>
        <w:jc w:val="both"/>
        <w:rPr>
          <w:rFonts w:eastAsia="MS Gothic" w:cs="Tahoma"/>
          <w:lang w:eastAsia="ja-JP"/>
        </w:rPr>
      </w:pPr>
      <w:r w:rsidRPr="008D6A00">
        <w:rPr>
          <w:rFonts w:eastAsia="MS Gothic" w:cs="Tahoma"/>
          <w:lang w:eastAsia="ja-JP"/>
        </w:rPr>
        <w:t>La D</w:t>
      </w:r>
      <w:r w:rsidR="00C06042" w:rsidRPr="008D6A00">
        <w:rPr>
          <w:rFonts w:eastAsia="MS Gothic" w:cs="Tahoma"/>
          <w:lang w:eastAsia="ja-JP"/>
        </w:rPr>
        <w:t>irection a proposé une augmentation générale de 440 € brut</w:t>
      </w:r>
      <w:r w:rsidRPr="008D6A00">
        <w:rPr>
          <w:rFonts w:eastAsia="MS Gothic" w:cs="Tahoma"/>
          <w:lang w:eastAsia="ja-JP"/>
        </w:rPr>
        <w:t>s</w:t>
      </w:r>
      <w:r w:rsidR="007B5563">
        <w:rPr>
          <w:rFonts w:eastAsia="MS Gothic" w:cs="Tahoma"/>
          <w:lang w:eastAsia="ja-JP"/>
        </w:rPr>
        <w:t xml:space="preserve"> par salarié pour </w:t>
      </w:r>
      <w:r w:rsidR="001E1BB0" w:rsidRPr="008D6A00">
        <w:rPr>
          <w:rFonts w:eastAsia="MS Gothic" w:cs="Tahoma"/>
          <w:lang w:eastAsia="ja-JP"/>
        </w:rPr>
        <w:t>accompagner l</w:t>
      </w:r>
      <w:r w:rsidRPr="008D6A00">
        <w:rPr>
          <w:rFonts w:eastAsia="MS Gothic" w:cs="Tahoma"/>
          <w:lang w:eastAsia="ja-JP"/>
        </w:rPr>
        <w:t xml:space="preserve">’augmentation du coût de la vie tout </w:t>
      </w:r>
      <w:r w:rsidR="001E1BB0" w:rsidRPr="008D6A00">
        <w:rPr>
          <w:rFonts w:eastAsia="MS Gothic" w:cs="Tahoma"/>
          <w:lang w:eastAsia="ja-JP"/>
        </w:rPr>
        <w:t xml:space="preserve">en préservant </w:t>
      </w:r>
      <w:r w:rsidR="00830DB4" w:rsidRPr="008D6A00">
        <w:rPr>
          <w:rFonts w:eastAsia="MS Gothic" w:cs="Tahoma"/>
          <w:lang w:eastAsia="ja-JP"/>
        </w:rPr>
        <w:t xml:space="preserve">l’emploi et </w:t>
      </w:r>
      <w:r w:rsidRPr="008D6A00">
        <w:rPr>
          <w:rFonts w:eastAsia="MS Gothic" w:cs="Tahoma"/>
          <w:lang w:eastAsia="ja-JP"/>
        </w:rPr>
        <w:t>les</w:t>
      </w:r>
      <w:r w:rsidR="001E1BB0" w:rsidRPr="008D6A00">
        <w:rPr>
          <w:rFonts w:eastAsia="MS Gothic" w:cs="Tahoma"/>
          <w:lang w:eastAsia="ja-JP"/>
        </w:rPr>
        <w:t xml:space="preserve"> équilibres financiers (évolution </w:t>
      </w:r>
      <w:r w:rsidRPr="008D6A00">
        <w:rPr>
          <w:rFonts w:eastAsia="MS Gothic" w:cs="Tahoma"/>
          <w:lang w:eastAsia="ja-JP"/>
        </w:rPr>
        <w:t xml:space="preserve">de la masse salariale, des </w:t>
      </w:r>
      <w:r w:rsidR="001E1BB0" w:rsidRPr="008D6A00">
        <w:rPr>
          <w:rFonts w:eastAsia="MS Gothic" w:cs="Tahoma"/>
          <w:lang w:eastAsia="ja-JP"/>
        </w:rPr>
        <w:t>frais de personnel)</w:t>
      </w:r>
      <w:r w:rsidRPr="008D6A00">
        <w:rPr>
          <w:rFonts w:eastAsia="MS Gothic" w:cs="Tahoma"/>
          <w:lang w:eastAsia="ja-JP"/>
        </w:rPr>
        <w:t>.</w:t>
      </w:r>
    </w:p>
    <w:p w:rsidR="000146D1" w:rsidRPr="008D6A00" w:rsidRDefault="000146D1" w:rsidP="002F122E">
      <w:pPr>
        <w:jc w:val="both"/>
        <w:rPr>
          <w:b/>
          <w:u w:val="single"/>
        </w:rPr>
      </w:pPr>
    </w:p>
    <w:p w:rsidR="002F122E" w:rsidRPr="008D6A00" w:rsidRDefault="002F122E" w:rsidP="002F122E">
      <w:pPr>
        <w:jc w:val="both"/>
        <w:rPr>
          <w:b/>
          <w:u w:val="single"/>
        </w:rPr>
      </w:pPr>
      <w:r w:rsidRPr="008D6A00">
        <w:rPr>
          <w:b/>
          <w:u w:val="single"/>
        </w:rPr>
        <w:t xml:space="preserve">Article </w:t>
      </w:r>
      <w:r w:rsidR="002F4BF4" w:rsidRPr="008D6A00">
        <w:rPr>
          <w:b/>
          <w:u w:val="single"/>
        </w:rPr>
        <w:t>2</w:t>
      </w:r>
      <w:r w:rsidR="000146D1" w:rsidRPr="008D6A00">
        <w:rPr>
          <w:b/>
          <w:u w:val="single"/>
        </w:rPr>
        <w:t>. Mesure unilatérale</w:t>
      </w:r>
    </w:p>
    <w:p w:rsidR="002F4BF4" w:rsidRPr="008D6A00" w:rsidRDefault="002F4BF4" w:rsidP="000146D1">
      <w:pPr>
        <w:jc w:val="both"/>
        <w:rPr>
          <w:rFonts w:eastAsia="MS Gothic" w:cs="Tahoma"/>
          <w:lang w:eastAsia="ja-JP"/>
        </w:rPr>
      </w:pPr>
      <w:r w:rsidRPr="008D6A00">
        <w:rPr>
          <w:rFonts w:eastAsia="MS Gothic" w:cs="Tahoma"/>
          <w:lang w:eastAsia="ja-JP"/>
        </w:rPr>
        <w:t>Suite au constat de désaccord des parties, la Direction a décidé d’appliquer l</w:t>
      </w:r>
      <w:r w:rsidR="000146D1" w:rsidRPr="008D6A00">
        <w:rPr>
          <w:rFonts w:eastAsia="MS Gothic" w:cs="Tahoma"/>
          <w:lang w:eastAsia="ja-JP"/>
        </w:rPr>
        <w:t xml:space="preserve">a mesure unilatérale suivante </w:t>
      </w:r>
      <w:r w:rsidR="001067C6" w:rsidRPr="008D6A00">
        <w:rPr>
          <w:rFonts w:eastAsia="MS Gothic" w:cs="Tahoma"/>
          <w:lang w:eastAsia="ja-JP"/>
        </w:rPr>
        <w:t xml:space="preserve">au titre de l’augmentation générale </w:t>
      </w:r>
      <w:r w:rsidR="00830DB4" w:rsidRPr="008D6A00">
        <w:rPr>
          <w:rFonts w:eastAsia="MS Gothic" w:cs="Tahoma"/>
          <w:lang w:eastAsia="ja-JP"/>
        </w:rPr>
        <w:t xml:space="preserve">à </w:t>
      </w:r>
      <w:bookmarkStart w:id="0" w:name="_GoBack"/>
      <w:r w:rsidR="00830DB4" w:rsidRPr="008D6A00">
        <w:rPr>
          <w:rFonts w:eastAsia="MS Gothic" w:cs="Tahoma"/>
          <w:lang w:eastAsia="ja-JP"/>
        </w:rPr>
        <w:t xml:space="preserve">savoir </w:t>
      </w:r>
      <w:r w:rsidR="000146D1" w:rsidRPr="007737D9">
        <w:rPr>
          <w:rFonts w:eastAsia="MS Gothic" w:cs="Tahoma"/>
          <w:lang w:eastAsia="ja-JP"/>
        </w:rPr>
        <w:t>440</w:t>
      </w:r>
      <w:r w:rsidR="0074548D" w:rsidRPr="007737D9">
        <w:rPr>
          <w:rFonts w:eastAsia="MS Gothic" w:cs="Tahoma"/>
          <w:lang w:eastAsia="ja-JP"/>
        </w:rPr>
        <w:t xml:space="preserve"> </w:t>
      </w:r>
      <w:r w:rsidR="000146D1" w:rsidRPr="007737D9">
        <w:rPr>
          <w:rFonts w:eastAsia="MS Gothic" w:cs="Tahoma"/>
          <w:lang w:eastAsia="ja-JP"/>
        </w:rPr>
        <w:t>€ bruts annuel</w:t>
      </w:r>
      <w:r w:rsidR="001067C6" w:rsidRPr="007737D9">
        <w:rPr>
          <w:rFonts w:eastAsia="MS Gothic" w:cs="Tahoma"/>
          <w:lang w:eastAsia="ja-JP"/>
        </w:rPr>
        <w:t xml:space="preserve"> pour un salarié à temps plein</w:t>
      </w:r>
      <w:r w:rsidR="000146D1" w:rsidRPr="008D6A00">
        <w:rPr>
          <w:rFonts w:eastAsia="MS Gothic" w:cs="Tahoma"/>
          <w:lang w:eastAsia="ja-JP"/>
        </w:rPr>
        <w:t>.</w:t>
      </w:r>
      <w:bookmarkEnd w:id="0"/>
    </w:p>
    <w:p w:rsidR="000146D1" w:rsidRPr="008D6A00" w:rsidRDefault="000146D1" w:rsidP="000146D1">
      <w:pPr>
        <w:jc w:val="both"/>
        <w:rPr>
          <w:rFonts w:eastAsia="MS Gothic" w:cs="Tahoma"/>
          <w:lang w:eastAsia="ja-JP"/>
        </w:rPr>
      </w:pPr>
      <w:r w:rsidRPr="008D6A00">
        <w:rPr>
          <w:rFonts w:eastAsia="MS Gothic" w:cs="Tahoma"/>
          <w:lang w:eastAsia="ja-JP"/>
        </w:rPr>
        <w:t>Les bénéficiaires de cette mesure sont les salariés de la Caisse Fédérale du Crédit Mutuel Océan revelant de la Convention Collective du 5 juillet 2007, présents à la date d’application de la présente mesure soit le 1</w:t>
      </w:r>
      <w:r w:rsidRPr="008D6A00">
        <w:rPr>
          <w:rFonts w:eastAsia="MS Gothic" w:cs="Tahoma"/>
          <w:vertAlign w:val="superscript"/>
          <w:lang w:eastAsia="ja-JP"/>
        </w:rPr>
        <w:t>er</w:t>
      </w:r>
      <w:r w:rsidRPr="008D6A00">
        <w:rPr>
          <w:rFonts w:eastAsia="MS Gothic" w:cs="Tahoma"/>
          <w:lang w:eastAsia="ja-JP"/>
        </w:rPr>
        <w:t xml:space="preserve"> mars 2019.</w:t>
      </w:r>
    </w:p>
    <w:p w:rsidR="000146D1" w:rsidRPr="008D6A00" w:rsidRDefault="000146D1" w:rsidP="002F4BF4">
      <w:pPr>
        <w:jc w:val="both"/>
      </w:pPr>
    </w:p>
    <w:p w:rsidR="002F4BF4" w:rsidRPr="008D6A00" w:rsidRDefault="002F122E" w:rsidP="002F4BF4">
      <w:pPr>
        <w:jc w:val="both"/>
        <w:rPr>
          <w:b/>
          <w:u w:val="single"/>
        </w:rPr>
      </w:pPr>
      <w:r w:rsidRPr="008D6A00">
        <w:rPr>
          <w:b/>
          <w:u w:val="single"/>
        </w:rPr>
        <w:t xml:space="preserve">Article </w:t>
      </w:r>
      <w:r w:rsidR="002F4BF4" w:rsidRPr="008D6A00">
        <w:rPr>
          <w:b/>
          <w:u w:val="single"/>
        </w:rPr>
        <w:t>3</w:t>
      </w:r>
      <w:r w:rsidRPr="008D6A00">
        <w:rPr>
          <w:b/>
          <w:u w:val="single"/>
        </w:rPr>
        <w:t xml:space="preserve">. </w:t>
      </w:r>
      <w:r w:rsidR="002F4BF4" w:rsidRPr="008D6A00">
        <w:rPr>
          <w:b/>
          <w:u w:val="single"/>
        </w:rPr>
        <w:t>Dépôt et publicité du procès-verbal de désaccord</w:t>
      </w:r>
    </w:p>
    <w:p w:rsidR="009D4761" w:rsidRPr="008D6A00" w:rsidRDefault="002F4BF4" w:rsidP="009D4761">
      <w:pPr>
        <w:jc w:val="both"/>
        <w:rPr>
          <w:rFonts w:cstheme="minorHAnsi"/>
        </w:rPr>
      </w:pPr>
      <w:r w:rsidRPr="008D6A00">
        <w:rPr>
          <w:rFonts w:cstheme="minorHAnsi"/>
        </w:rPr>
        <w:t>Conformément à la législation, le présent procès-verbal de désaccord sera déposé à l'initiative de la Directio</w:t>
      </w:r>
      <w:r w:rsidR="009D4761" w:rsidRPr="008D6A00">
        <w:rPr>
          <w:rFonts w:cstheme="minorHAnsi"/>
        </w:rPr>
        <w:t xml:space="preserve">n sur la plate-forme de télé-procédure dédiée : </w:t>
      </w:r>
      <w:hyperlink r:id="rId9" w:history="1">
        <w:r w:rsidR="009D4761" w:rsidRPr="008D6A00">
          <w:rPr>
            <w:rFonts w:cstheme="minorHAnsi"/>
          </w:rPr>
          <w:t>www.teleaccords.travail-emploi.gouv.fr</w:t>
        </w:r>
      </w:hyperlink>
      <w:r w:rsidR="009D4761" w:rsidRPr="008D6A00">
        <w:rPr>
          <w:rFonts w:cstheme="minorHAnsi"/>
        </w:rPr>
        <w:t>, et auprès du greffe du Conseil de Prud’hommes de la Roche-sur-Yon.</w:t>
      </w:r>
    </w:p>
    <w:p w:rsidR="009D4761" w:rsidRPr="008D6A00" w:rsidRDefault="009D4761" w:rsidP="009D4761">
      <w:pPr>
        <w:jc w:val="both"/>
        <w:rPr>
          <w:rFonts w:cstheme="minorHAnsi"/>
        </w:rPr>
      </w:pPr>
      <w:r w:rsidRPr="008D6A00">
        <w:rPr>
          <w:rFonts w:cstheme="minorHAnsi"/>
        </w:rPr>
        <w:t>Le présent procès-verbal de désaccord sera porté par ailleurs à la connaissance de l’ensemble des salariés de l’entreprise.</w:t>
      </w:r>
    </w:p>
    <w:p w:rsidR="002F122E" w:rsidRPr="008D6A00" w:rsidRDefault="002F122E" w:rsidP="002F122E">
      <w:pPr>
        <w:numPr>
          <w:ilvl w:val="12"/>
          <w:numId w:val="0"/>
        </w:numPr>
        <w:spacing w:line="240" w:lineRule="auto"/>
        <w:jc w:val="both"/>
        <w:rPr>
          <w:rFonts w:cs="Arial"/>
        </w:rPr>
      </w:pPr>
      <w:r w:rsidRPr="008D6A00">
        <w:rPr>
          <w:rFonts w:cs="Arial"/>
        </w:rPr>
        <w:lastRenderedPageBreak/>
        <w:t xml:space="preserve">Fait à la ROCHE SUR YON, le </w:t>
      </w:r>
      <w:r w:rsidR="008A3029" w:rsidRPr="008D6A00">
        <w:rPr>
          <w:rFonts w:cs="Arial"/>
        </w:rPr>
        <w:t>6 février 2019</w:t>
      </w:r>
      <w:r w:rsidRPr="008D6A00">
        <w:rPr>
          <w:rFonts w:cs="Arial"/>
        </w:rPr>
        <w:t xml:space="preserve">, en </w:t>
      </w:r>
      <w:r w:rsidR="00D32F1D" w:rsidRPr="008D6A00">
        <w:rPr>
          <w:rFonts w:cs="Arial"/>
        </w:rPr>
        <w:t>6</w:t>
      </w:r>
      <w:r w:rsidR="00804C7D" w:rsidRPr="008D6A00">
        <w:rPr>
          <w:rFonts w:cs="Arial"/>
        </w:rPr>
        <w:t xml:space="preserve"> </w:t>
      </w:r>
      <w:r w:rsidRPr="008D6A00">
        <w:rPr>
          <w:rFonts w:cs="Arial"/>
        </w:rPr>
        <w:t>exemplaire</w:t>
      </w:r>
      <w:r w:rsidR="009D4761" w:rsidRPr="008D6A00">
        <w:rPr>
          <w:rFonts w:cs="Arial"/>
        </w:rPr>
        <w:t xml:space="preserve">s </w:t>
      </w:r>
      <w:r w:rsidRPr="008D6A00">
        <w:rPr>
          <w:rFonts w:cs="Arial"/>
        </w:rPr>
        <w:t>origina</w:t>
      </w:r>
      <w:r w:rsidR="009D4761" w:rsidRPr="008D6A00">
        <w:rPr>
          <w:rFonts w:cs="Arial"/>
        </w:rPr>
        <w:t>ux</w:t>
      </w:r>
      <w:r w:rsidR="001E1BB0">
        <w:rPr>
          <w:rFonts w:cs="Arial"/>
        </w:rPr>
        <w:t>.</w:t>
      </w:r>
    </w:p>
    <w:p w:rsidR="00830DB4" w:rsidRDefault="00830DB4" w:rsidP="002F122E">
      <w:pPr>
        <w:numPr>
          <w:ilvl w:val="12"/>
          <w:numId w:val="0"/>
        </w:numPr>
        <w:spacing w:line="240" w:lineRule="auto"/>
        <w:jc w:val="both"/>
        <w:rPr>
          <w:rFonts w:cs="Arial"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2268"/>
        <w:gridCol w:w="1985"/>
        <w:gridCol w:w="1984"/>
      </w:tblGrid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spacing w:after="0" w:line="360" w:lineRule="auto"/>
              <w:ind w:right="-1"/>
              <w:rPr>
                <w:rFonts w:cs="Arial"/>
              </w:rPr>
            </w:pPr>
            <w:r w:rsidRPr="001E1BB0">
              <w:rPr>
                <w:rFonts w:cs="Arial"/>
                <w:b/>
              </w:rPr>
              <w:t>Pour la Caisse Fédérale du Crédit Mutuel Océan</w:t>
            </w: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</w:p>
        </w:tc>
      </w:tr>
      <w:tr w:rsidR="00830DB4" w:rsidRPr="001E1BB0" w:rsidTr="007E4FFE">
        <w:trPr>
          <w:cantSplit/>
        </w:trPr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  <w:r w:rsidRPr="001E1BB0">
              <w:rPr>
                <w:rFonts w:cs="Arial"/>
              </w:rPr>
              <w:t>L. CORTOT</w:t>
            </w: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  <w:b/>
                <w:bCs/>
              </w:rPr>
            </w:pPr>
            <w:r w:rsidRPr="001E1BB0">
              <w:rPr>
                <w:rFonts w:cs="Arial"/>
                <w:b/>
                <w:bCs/>
              </w:rPr>
              <w:t>Pour la C.F.D.T.,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2268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before="120" w:after="0" w:line="360" w:lineRule="auto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B. CHAURREAU</w:t>
            </w:r>
          </w:p>
        </w:tc>
        <w:tc>
          <w:tcPr>
            <w:tcW w:w="1985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before="120" w:after="0" w:line="360" w:lineRule="auto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M.C.GALZIN</w:t>
            </w:r>
          </w:p>
        </w:tc>
        <w:tc>
          <w:tcPr>
            <w:tcW w:w="198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before="120" w:after="0" w:line="360" w:lineRule="auto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S. GAUFRETEAU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2268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1985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198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right"/>
              <w:rPr>
                <w:rFonts w:cs="Arial"/>
              </w:rPr>
            </w:pP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  <w:b/>
              </w:rPr>
              <w:t>Pour F.O.,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  <w:highlight w:val="yellow"/>
              </w:rPr>
            </w:pPr>
            <w:r w:rsidRPr="001E1BB0">
              <w:rPr>
                <w:rFonts w:cs="Arial"/>
              </w:rPr>
              <w:t>P. BARBEREAU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2268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</w:p>
        </w:tc>
        <w:tc>
          <w:tcPr>
            <w:tcW w:w="1985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  <w:b/>
              </w:rPr>
            </w:pPr>
          </w:p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  <w:b/>
              </w:rPr>
            </w:pPr>
          </w:p>
        </w:tc>
        <w:tc>
          <w:tcPr>
            <w:tcW w:w="198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  <w:b/>
              </w:rPr>
              <w:t>Pour le S.N.B.,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2268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J-L. BOSSARD</w:t>
            </w:r>
          </w:p>
        </w:tc>
        <w:tc>
          <w:tcPr>
            <w:tcW w:w="1985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V. LAVERGNE</w:t>
            </w:r>
          </w:p>
        </w:tc>
        <w:tc>
          <w:tcPr>
            <w:tcW w:w="198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J-Y. VINCENT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  <w:b/>
              </w:rPr>
            </w:pPr>
          </w:p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  <w:b/>
              </w:rPr>
            </w:pP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6237" w:type="dxa"/>
            <w:gridSpan w:val="3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  <w:b/>
              </w:rPr>
              <w:t>Pour l'U.N.S.A. C.M.O.,</w:t>
            </w:r>
          </w:p>
        </w:tc>
      </w:tr>
      <w:tr w:rsidR="00830DB4" w:rsidRPr="001E1BB0" w:rsidTr="007E4FFE">
        <w:tc>
          <w:tcPr>
            <w:tcW w:w="361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rPr>
                <w:rFonts w:cs="Arial"/>
              </w:rPr>
            </w:pPr>
          </w:p>
        </w:tc>
        <w:tc>
          <w:tcPr>
            <w:tcW w:w="2268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V. COPIN</w:t>
            </w:r>
          </w:p>
        </w:tc>
        <w:tc>
          <w:tcPr>
            <w:tcW w:w="1985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B. JOLLY</w:t>
            </w:r>
          </w:p>
        </w:tc>
        <w:tc>
          <w:tcPr>
            <w:tcW w:w="1984" w:type="dxa"/>
          </w:tcPr>
          <w:p w:rsidR="00830DB4" w:rsidRPr="001E1BB0" w:rsidRDefault="00830DB4" w:rsidP="007E4FFE">
            <w:pPr>
              <w:numPr>
                <w:ilvl w:val="12"/>
                <w:numId w:val="0"/>
              </w:numPr>
              <w:spacing w:after="0" w:line="360" w:lineRule="auto"/>
              <w:ind w:right="-1"/>
              <w:jc w:val="center"/>
              <w:rPr>
                <w:rFonts w:cs="Arial"/>
              </w:rPr>
            </w:pPr>
            <w:r w:rsidRPr="001E1BB0">
              <w:rPr>
                <w:rFonts w:cs="Arial"/>
              </w:rPr>
              <w:t>A. MASSE</w:t>
            </w:r>
          </w:p>
        </w:tc>
      </w:tr>
    </w:tbl>
    <w:p w:rsidR="00830DB4" w:rsidRPr="001E1BB0" w:rsidRDefault="00830DB4" w:rsidP="002F122E">
      <w:pPr>
        <w:numPr>
          <w:ilvl w:val="12"/>
          <w:numId w:val="0"/>
        </w:numPr>
        <w:spacing w:line="240" w:lineRule="auto"/>
        <w:jc w:val="both"/>
        <w:rPr>
          <w:rFonts w:cs="Arial"/>
        </w:rPr>
      </w:pPr>
    </w:p>
    <w:sectPr w:rsidR="00830DB4" w:rsidRPr="001E1BB0" w:rsidSect="008D6A00">
      <w:headerReference w:type="default" r:id="rId10"/>
      <w:footerReference w:type="default" r:id="rId11"/>
      <w:pgSz w:w="11906" w:h="16838"/>
      <w:pgMar w:top="1417" w:right="1417" w:bottom="1417" w:left="1417" w:header="708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816" w:rsidRDefault="009D5816" w:rsidP="002F122E">
      <w:pPr>
        <w:spacing w:after="0" w:line="240" w:lineRule="auto"/>
      </w:pPr>
      <w:r>
        <w:separator/>
      </w:r>
    </w:p>
  </w:endnote>
  <w:endnote w:type="continuationSeparator" w:id="0">
    <w:p w:rsidR="009D5816" w:rsidRDefault="009D5816" w:rsidP="002F12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750316624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6650B" w:rsidRDefault="0073053D" w:rsidP="0073053D">
            <w:pPr>
              <w:pStyle w:val="Pieddepag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PV désaccord </w:t>
            </w:r>
            <w:r w:rsidR="00C6650B">
              <w:rPr>
                <w:sz w:val="18"/>
                <w:szCs w:val="18"/>
              </w:rPr>
              <w:t xml:space="preserve">relatif à la </w:t>
            </w:r>
            <w:r w:rsidR="00C6650B" w:rsidRPr="00C6650B">
              <w:rPr>
                <w:sz w:val="18"/>
                <w:szCs w:val="18"/>
              </w:rPr>
              <w:t xml:space="preserve">négociation annuelle sur la rémunération, le temps de travail </w:t>
            </w:r>
          </w:p>
          <w:p w:rsidR="0073053D" w:rsidRPr="003E487C" w:rsidRDefault="00C6650B" w:rsidP="0073053D">
            <w:pPr>
              <w:pStyle w:val="Pieddepage"/>
              <w:rPr>
                <w:sz w:val="18"/>
                <w:szCs w:val="18"/>
              </w:rPr>
            </w:pPr>
            <w:proofErr w:type="gramStart"/>
            <w:r w:rsidRPr="00C6650B">
              <w:rPr>
                <w:sz w:val="18"/>
                <w:szCs w:val="18"/>
              </w:rPr>
              <w:t>et</w:t>
            </w:r>
            <w:proofErr w:type="gramEnd"/>
            <w:r w:rsidRPr="00C6650B">
              <w:rPr>
                <w:sz w:val="18"/>
                <w:szCs w:val="18"/>
              </w:rPr>
              <w:t xml:space="preserve"> le partage de la valeur ajoutée</w:t>
            </w:r>
            <w:r>
              <w:rPr>
                <w:sz w:val="18"/>
                <w:szCs w:val="18"/>
              </w:rPr>
              <w:t>.</w:t>
            </w:r>
            <w:r w:rsidR="0073053D">
              <w:rPr>
                <w:sz w:val="18"/>
                <w:szCs w:val="18"/>
              </w:rPr>
              <w:tab/>
            </w:r>
            <w:r w:rsidR="0073053D">
              <w:rPr>
                <w:sz w:val="18"/>
                <w:szCs w:val="18"/>
              </w:rPr>
              <w:tab/>
            </w:r>
            <w:r w:rsidR="0073053D" w:rsidRPr="003E487C">
              <w:rPr>
                <w:sz w:val="18"/>
                <w:szCs w:val="18"/>
              </w:rPr>
              <w:t xml:space="preserve">Page </w: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begin"/>
            </w:r>
            <w:r w:rsidR="0073053D" w:rsidRPr="003E487C">
              <w:rPr>
                <w:b/>
                <w:bCs/>
                <w:sz w:val="18"/>
                <w:szCs w:val="18"/>
              </w:rPr>
              <w:instrText>PAGE</w:instrTex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separate"/>
            </w:r>
            <w:r w:rsidR="007737D9">
              <w:rPr>
                <w:b/>
                <w:bCs/>
                <w:noProof/>
                <w:sz w:val="18"/>
                <w:szCs w:val="18"/>
              </w:rPr>
              <w:t>3</w: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end"/>
            </w:r>
            <w:r w:rsidR="0073053D" w:rsidRPr="003E487C">
              <w:rPr>
                <w:sz w:val="18"/>
                <w:szCs w:val="18"/>
              </w:rPr>
              <w:t xml:space="preserve"> sur </w: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begin"/>
            </w:r>
            <w:r w:rsidR="0073053D" w:rsidRPr="003E487C">
              <w:rPr>
                <w:b/>
                <w:bCs/>
                <w:sz w:val="18"/>
                <w:szCs w:val="18"/>
              </w:rPr>
              <w:instrText>NUMPAGES</w:instrTex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separate"/>
            </w:r>
            <w:r w:rsidR="007737D9">
              <w:rPr>
                <w:b/>
                <w:bCs/>
                <w:noProof/>
                <w:sz w:val="18"/>
                <w:szCs w:val="18"/>
              </w:rPr>
              <w:t>3</w:t>
            </w:r>
            <w:r w:rsidR="0073053D" w:rsidRPr="003E487C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2F122E" w:rsidRPr="0073053D" w:rsidRDefault="002F122E" w:rsidP="0073053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816" w:rsidRDefault="009D5816" w:rsidP="002F122E">
      <w:pPr>
        <w:spacing w:after="0" w:line="240" w:lineRule="auto"/>
      </w:pPr>
      <w:r>
        <w:separator/>
      </w:r>
    </w:p>
  </w:footnote>
  <w:footnote w:type="continuationSeparator" w:id="0">
    <w:p w:rsidR="009D5816" w:rsidRDefault="009D5816" w:rsidP="002F12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441" w:rsidRDefault="00F03441" w:rsidP="00082C54">
    <w:pPr>
      <w:pStyle w:val="En-tte"/>
    </w:pPr>
  </w:p>
  <w:p w:rsidR="002F122E" w:rsidRDefault="002F122E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35174"/>
    <w:multiLevelType w:val="hybridMultilevel"/>
    <w:tmpl w:val="1EEEF2AE"/>
    <w:lvl w:ilvl="0" w:tplc="9D183E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A791E"/>
    <w:multiLevelType w:val="hybridMultilevel"/>
    <w:tmpl w:val="A96C378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F3D30"/>
    <w:multiLevelType w:val="hybridMultilevel"/>
    <w:tmpl w:val="48987DF2"/>
    <w:lvl w:ilvl="0" w:tplc="1DE09B1C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380412C">
      <w:start w:val="216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87ACD7E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88ABCF0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CCA5F46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16C46D6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214E3C2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E50275A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0D2F39A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0FCF3AD6"/>
    <w:multiLevelType w:val="hybridMultilevel"/>
    <w:tmpl w:val="C7EC6190"/>
    <w:lvl w:ilvl="0" w:tplc="9D183E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8EB7EDE"/>
    <w:multiLevelType w:val="hybridMultilevel"/>
    <w:tmpl w:val="A9406938"/>
    <w:lvl w:ilvl="0" w:tplc="F2E628F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4412A2"/>
    <w:multiLevelType w:val="hybridMultilevel"/>
    <w:tmpl w:val="F5A208E6"/>
    <w:lvl w:ilvl="0" w:tplc="9D183E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2F3521"/>
    <w:multiLevelType w:val="hybridMultilevel"/>
    <w:tmpl w:val="204C4A3E"/>
    <w:lvl w:ilvl="0" w:tplc="80467FDC">
      <w:start w:val="1"/>
      <w:numFmt w:val="decimal"/>
      <w:lvlText w:val="Article %1 -"/>
      <w:lvlJc w:val="left"/>
      <w:pPr>
        <w:ind w:left="1080" w:hanging="360"/>
      </w:pPr>
      <w:rPr>
        <w:rFonts w:hint="default"/>
        <w:b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5C60DAA"/>
    <w:multiLevelType w:val="hybridMultilevel"/>
    <w:tmpl w:val="DC1A924A"/>
    <w:lvl w:ilvl="0" w:tplc="C94877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BE77EE"/>
    <w:multiLevelType w:val="multilevel"/>
    <w:tmpl w:val="5A94552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50B030A1"/>
    <w:multiLevelType w:val="hybridMultilevel"/>
    <w:tmpl w:val="DA56C0E0"/>
    <w:lvl w:ilvl="0" w:tplc="4322EE3C">
      <w:start w:val="1"/>
      <w:numFmt w:val="decimal"/>
      <w:lvlText w:val="Chapitre 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92062AF"/>
    <w:multiLevelType w:val="hybridMultilevel"/>
    <w:tmpl w:val="42342562"/>
    <w:lvl w:ilvl="0" w:tplc="9D183EFC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1" w15:restartNumberingAfterBreak="0">
    <w:nsid w:val="619D0D60"/>
    <w:multiLevelType w:val="hybridMultilevel"/>
    <w:tmpl w:val="85A44D2C"/>
    <w:lvl w:ilvl="0" w:tplc="F2E628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CA6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1AAB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06A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2086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4B86E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99474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84C1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ECE9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654D0B4C"/>
    <w:multiLevelType w:val="hybridMultilevel"/>
    <w:tmpl w:val="3FF87876"/>
    <w:lvl w:ilvl="0" w:tplc="9D183E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8E4D6F"/>
    <w:multiLevelType w:val="hybridMultilevel"/>
    <w:tmpl w:val="8E6E8676"/>
    <w:lvl w:ilvl="0" w:tplc="9B96608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5126BA"/>
    <w:multiLevelType w:val="hybridMultilevel"/>
    <w:tmpl w:val="C950BF4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2F2F2F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12"/>
  </w:num>
  <w:num w:numId="4">
    <w:abstractNumId w:val="11"/>
  </w:num>
  <w:num w:numId="5">
    <w:abstractNumId w:val="5"/>
  </w:num>
  <w:num w:numId="6">
    <w:abstractNumId w:val="3"/>
  </w:num>
  <w:num w:numId="7">
    <w:abstractNumId w:val="0"/>
  </w:num>
  <w:num w:numId="8">
    <w:abstractNumId w:val="4"/>
  </w:num>
  <w:num w:numId="9">
    <w:abstractNumId w:val="10"/>
  </w:num>
  <w:num w:numId="10">
    <w:abstractNumId w:val="7"/>
  </w:num>
  <w:num w:numId="11">
    <w:abstractNumId w:val="6"/>
  </w:num>
  <w:num w:numId="12">
    <w:abstractNumId w:val="9"/>
  </w:num>
  <w:num w:numId="13">
    <w:abstractNumId w:val="8"/>
  </w:num>
  <w:num w:numId="14">
    <w:abstractNumId w:val="2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22E"/>
    <w:rsid w:val="000146D1"/>
    <w:rsid w:val="0003046D"/>
    <w:rsid w:val="00081665"/>
    <w:rsid w:val="00082C54"/>
    <w:rsid w:val="000A4A0B"/>
    <w:rsid w:val="000B7039"/>
    <w:rsid w:val="000D1266"/>
    <w:rsid w:val="001067C6"/>
    <w:rsid w:val="00162F7E"/>
    <w:rsid w:val="00166042"/>
    <w:rsid w:val="00171F4E"/>
    <w:rsid w:val="001976F3"/>
    <w:rsid w:val="001E1BB0"/>
    <w:rsid w:val="001E4C30"/>
    <w:rsid w:val="001F3930"/>
    <w:rsid w:val="002F122E"/>
    <w:rsid w:val="002F4BF4"/>
    <w:rsid w:val="00402966"/>
    <w:rsid w:val="004B4A58"/>
    <w:rsid w:val="004B7A16"/>
    <w:rsid w:val="00502ABD"/>
    <w:rsid w:val="0052363B"/>
    <w:rsid w:val="005C549F"/>
    <w:rsid w:val="005D2140"/>
    <w:rsid w:val="00617EF8"/>
    <w:rsid w:val="006B1143"/>
    <w:rsid w:val="006D0A80"/>
    <w:rsid w:val="0073053D"/>
    <w:rsid w:val="0074548D"/>
    <w:rsid w:val="00751EDC"/>
    <w:rsid w:val="007737D9"/>
    <w:rsid w:val="007B5563"/>
    <w:rsid w:val="007C7A56"/>
    <w:rsid w:val="007E0A5A"/>
    <w:rsid w:val="00804C7D"/>
    <w:rsid w:val="00830DB4"/>
    <w:rsid w:val="008A3029"/>
    <w:rsid w:val="008C0102"/>
    <w:rsid w:val="008D6A00"/>
    <w:rsid w:val="00927259"/>
    <w:rsid w:val="0097601C"/>
    <w:rsid w:val="009D4761"/>
    <w:rsid w:val="009D5816"/>
    <w:rsid w:val="009F6C3F"/>
    <w:rsid w:val="00B450A8"/>
    <w:rsid w:val="00B82569"/>
    <w:rsid w:val="00C06042"/>
    <w:rsid w:val="00C6650B"/>
    <w:rsid w:val="00C9000E"/>
    <w:rsid w:val="00D32F1D"/>
    <w:rsid w:val="00D62B03"/>
    <w:rsid w:val="00DD7F1B"/>
    <w:rsid w:val="00DF5677"/>
    <w:rsid w:val="00E002FC"/>
    <w:rsid w:val="00EF77ED"/>
    <w:rsid w:val="00F03441"/>
    <w:rsid w:val="00F97F39"/>
    <w:rsid w:val="00FF5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E68BEDC-EC96-4E6D-BE6B-08E10D340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122E"/>
  </w:style>
  <w:style w:type="paragraph" w:styleId="Titre1">
    <w:name w:val="heading 1"/>
    <w:basedOn w:val="Normal"/>
    <w:next w:val="Normal"/>
    <w:link w:val="Titre1Car"/>
    <w:uiPriority w:val="9"/>
    <w:qFormat/>
    <w:rsid w:val="001F3930"/>
    <w:pPr>
      <w:keepNext/>
      <w:shd w:val="clear" w:color="auto" w:fill="0070C0"/>
      <w:spacing w:before="120" w:after="120"/>
      <w:ind w:left="720" w:hanging="360"/>
      <w:outlineLvl w:val="0"/>
    </w:pPr>
    <w:rPr>
      <w:rFonts w:asciiTheme="majorHAnsi" w:eastAsiaTheme="majorEastAsia" w:hAnsiTheme="majorHAnsi" w:cstheme="majorBidi"/>
      <w:color w:val="FFFFFF" w:themeColor="background1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F3930"/>
    <w:pPr>
      <w:shd w:val="clear" w:color="auto" w:fill="D5DCE4" w:themeFill="text2" w:themeFillTint="33"/>
      <w:spacing w:after="120"/>
      <w:ind w:left="720" w:hanging="36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re4">
    <w:name w:val="heading 4"/>
    <w:basedOn w:val="Normal"/>
    <w:next w:val="Normal"/>
    <w:link w:val="Titre4Car"/>
    <w:qFormat/>
    <w:rsid w:val="002F122E"/>
    <w:pPr>
      <w:keepNext/>
      <w:outlineLvl w:val="3"/>
    </w:pPr>
    <w:rPr>
      <w:b/>
      <w:bCs/>
      <w:color w:val="800000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rsid w:val="002F122E"/>
    <w:rPr>
      <w:b/>
      <w:bCs/>
      <w:color w:val="800000"/>
      <w:szCs w:val="28"/>
    </w:rPr>
  </w:style>
  <w:style w:type="paragraph" w:styleId="Paragraphedeliste">
    <w:name w:val="List Paragraph"/>
    <w:basedOn w:val="Normal"/>
    <w:uiPriority w:val="34"/>
    <w:qFormat/>
    <w:rsid w:val="002F122E"/>
    <w:pPr>
      <w:spacing w:after="0"/>
      <w:ind w:left="720"/>
      <w:contextualSpacing/>
    </w:pPr>
    <w:rPr>
      <w:rFonts w:ascii="Times New Roman" w:hAnsi="Times New Roman"/>
      <w:sz w:val="24"/>
    </w:rPr>
  </w:style>
  <w:style w:type="paragraph" w:styleId="Titre">
    <w:name w:val="Title"/>
    <w:basedOn w:val="Normal"/>
    <w:next w:val="Normal"/>
    <w:link w:val="TitreCar"/>
    <w:uiPriority w:val="99"/>
    <w:qFormat/>
    <w:rsid w:val="002F122E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99"/>
    <w:rsid w:val="002F12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ElApptinonartf">
    <w:name w:val="ElApp_tinonartf"/>
    <w:rsid w:val="002F122E"/>
    <w:rPr>
      <w:b/>
      <w:bCs/>
      <w:sz w:val="17"/>
      <w:szCs w:val="17"/>
    </w:rPr>
  </w:style>
  <w:style w:type="character" w:customStyle="1" w:styleId="ElApptiartf2">
    <w:name w:val="ElApp_tiartf2"/>
    <w:rsid w:val="002F122E"/>
    <w:rPr>
      <w:b/>
      <w:bCs/>
      <w:sz w:val="17"/>
      <w:szCs w:val="17"/>
    </w:rPr>
  </w:style>
  <w:style w:type="character" w:customStyle="1" w:styleId="ElApptiartf3">
    <w:name w:val="ElApp_tiartf3"/>
    <w:rsid w:val="002F122E"/>
    <w:rPr>
      <w:b/>
      <w:bCs/>
      <w:sz w:val="17"/>
      <w:szCs w:val="17"/>
    </w:rPr>
  </w:style>
  <w:style w:type="paragraph" w:styleId="Sansinterligne">
    <w:name w:val="No Spacing"/>
    <w:uiPriority w:val="1"/>
    <w:qFormat/>
    <w:rsid w:val="002F122E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2F12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F122E"/>
  </w:style>
  <w:style w:type="paragraph" w:styleId="Pieddepage">
    <w:name w:val="footer"/>
    <w:basedOn w:val="Normal"/>
    <w:link w:val="PieddepageCar"/>
    <w:uiPriority w:val="99"/>
    <w:unhideWhenUsed/>
    <w:rsid w:val="002F12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F122E"/>
  </w:style>
  <w:style w:type="character" w:customStyle="1" w:styleId="Titre1Car">
    <w:name w:val="Titre 1 Car"/>
    <w:basedOn w:val="Policepardfaut"/>
    <w:link w:val="Titre1"/>
    <w:uiPriority w:val="9"/>
    <w:rsid w:val="001F3930"/>
    <w:rPr>
      <w:rFonts w:asciiTheme="majorHAnsi" w:eastAsiaTheme="majorEastAsia" w:hAnsiTheme="majorHAnsi" w:cstheme="majorBidi"/>
      <w:color w:val="FFFFFF" w:themeColor="background1"/>
      <w:sz w:val="32"/>
      <w:szCs w:val="32"/>
      <w:shd w:val="clear" w:color="auto" w:fill="0070C0"/>
    </w:rPr>
  </w:style>
  <w:style w:type="character" w:customStyle="1" w:styleId="Titre2Car">
    <w:name w:val="Titre 2 Car"/>
    <w:basedOn w:val="Policepardfaut"/>
    <w:link w:val="Titre2"/>
    <w:uiPriority w:val="9"/>
    <w:rsid w:val="001F3930"/>
    <w:rPr>
      <w:rFonts w:asciiTheme="majorHAnsi" w:eastAsiaTheme="majorEastAsia" w:hAnsiTheme="majorHAnsi" w:cstheme="majorBidi"/>
      <w:color w:val="2E74B5" w:themeColor="accent1" w:themeShade="BF"/>
      <w:sz w:val="26"/>
      <w:szCs w:val="26"/>
      <w:shd w:val="clear" w:color="auto" w:fill="D5DCE4" w:themeFill="text2" w:themeFillTint="33"/>
    </w:rPr>
  </w:style>
  <w:style w:type="paragraph" w:customStyle="1" w:styleId="Texte">
    <w:name w:val="Texte"/>
    <w:basedOn w:val="Normal"/>
    <w:rsid w:val="001F3930"/>
    <w:pPr>
      <w:widowControl w:val="0"/>
      <w:tabs>
        <w:tab w:val="left" w:pos="204"/>
      </w:tabs>
      <w:autoSpaceDE w:val="0"/>
      <w:autoSpaceDN w:val="0"/>
      <w:adjustRightInd w:val="0"/>
    </w:pPr>
    <w:rPr>
      <w:rFonts w:cs="Arial"/>
      <w:sz w:val="24"/>
    </w:rPr>
  </w:style>
  <w:style w:type="character" w:styleId="Lienhypertexte">
    <w:name w:val="Hyperlink"/>
    <w:basedOn w:val="Policepardfaut"/>
    <w:uiPriority w:val="99"/>
    <w:unhideWhenUsed/>
    <w:rsid w:val="001F3930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81665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1665"/>
    <w:rPr>
      <w:rFonts w:ascii="Arial" w:hAnsi="Arial" w:cs="Arial"/>
      <w:sz w:val="18"/>
      <w:szCs w:val="18"/>
    </w:rPr>
  </w:style>
  <w:style w:type="paragraph" w:styleId="Corpsdetexte">
    <w:name w:val="Body Text"/>
    <w:basedOn w:val="Normal"/>
    <w:link w:val="CorpsdetexteCar"/>
    <w:rsid w:val="0073053D"/>
    <w:pPr>
      <w:spacing w:before="60" w:after="60" w:line="240" w:lineRule="auto"/>
      <w:jc w:val="both"/>
    </w:pPr>
    <w:rPr>
      <w:rFonts w:ascii="Arial" w:eastAsia="Times New Roman" w:hAnsi="Arial" w:cs="Times New Roman"/>
      <w:szCs w:val="20"/>
      <w:lang w:eastAsia="fr-FR"/>
    </w:rPr>
  </w:style>
  <w:style w:type="character" w:customStyle="1" w:styleId="CorpsdetexteCar">
    <w:name w:val="Corps de texte Car"/>
    <w:basedOn w:val="Policepardfaut"/>
    <w:link w:val="Corpsdetexte"/>
    <w:rsid w:val="0073053D"/>
    <w:rPr>
      <w:rFonts w:ascii="Arial" w:eastAsia="Times New Roman" w:hAnsi="Arial" w:cs="Times New Roman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33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122943">
          <w:marLeft w:val="475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240273">
          <w:marLeft w:val="994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62735">
          <w:marLeft w:val="994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teleaccords.travail-emploi.gouv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E8F8E-3E12-45B9-A9D7-EDF9B4F5A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561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VINET Lucie</dc:creator>
  <cp:keywords/>
  <dc:description/>
  <cp:lastModifiedBy>SAILLANT Sophie</cp:lastModifiedBy>
  <cp:revision>31</cp:revision>
  <cp:lastPrinted>2016-12-06T13:13:00Z</cp:lastPrinted>
  <dcterms:created xsi:type="dcterms:W3CDTF">2019-02-03T14:31:00Z</dcterms:created>
  <dcterms:modified xsi:type="dcterms:W3CDTF">2019-02-04T11:02:00Z</dcterms:modified>
</cp:coreProperties>
</file>